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642211" w:rsidRDefault="00642211" w:rsidP="00934587">
      <w:pPr>
        <w:rPr>
          <w:color w:val="3399FF"/>
          <w:lang w:val="kk-KZ"/>
        </w:rPr>
      </w:pPr>
    </w:p>
    <w:p w:rsidR="000D3507" w:rsidRDefault="000D3507" w:rsidP="00934587">
      <w:pPr>
        <w:rPr>
          <w:color w:val="3399FF"/>
          <w:lang w:val="kk-KZ"/>
        </w:rPr>
      </w:pPr>
    </w:p>
    <w:p w:rsidR="000D3507" w:rsidRDefault="00AC3294" w:rsidP="003A3D29">
      <w:pPr>
        <w:overflowPunct/>
        <w:autoSpaceDE/>
        <w:autoSpaceDN/>
        <w:adjustRightInd/>
        <w:ind w:firstLine="709"/>
        <w:jc w:val="center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«Т</w:t>
      </w:r>
      <w:r w:rsidRPr="00AC3294">
        <w:rPr>
          <w:b/>
          <w:sz w:val="28"/>
          <w:szCs w:val="28"/>
          <w:lang w:val="kk-KZ"/>
        </w:rPr>
        <w:t>әуекелдерді басқару жүйесін қолдан</w:t>
      </w:r>
      <w:r w:rsidR="0031029D">
        <w:rPr>
          <w:b/>
          <w:sz w:val="28"/>
          <w:szCs w:val="28"/>
          <w:lang w:val="kk-KZ"/>
        </w:rPr>
        <w:t>у</w:t>
      </w:r>
      <w:r w:rsidRPr="00AC3294">
        <w:rPr>
          <w:b/>
          <w:sz w:val="28"/>
          <w:szCs w:val="28"/>
          <w:lang w:val="kk-KZ"/>
        </w:rPr>
        <w:t xml:space="preserve"> </w:t>
      </w:r>
      <w:r w:rsidR="0031029D">
        <w:rPr>
          <w:b/>
          <w:sz w:val="28"/>
          <w:szCs w:val="28"/>
          <w:lang w:val="kk-KZ"/>
        </w:rPr>
        <w:t>арқылы</w:t>
      </w:r>
      <w:r w:rsidRPr="00AC3294">
        <w:rPr>
          <w:b/>
          <w:sz w:val="28"/>
          <w:szCs w:val="28"/>
          <w:lang w:val="kk-KZ"/>
        </w:rPr>
        <w:t xml:space="preserve">, Еуразиялық экономикалық одақтың кедендік аумағына тауарларды әкелуді жүзеге асыратын салық төлеушілерді әкімшілендіру </w:t>
      </w:r>
      <w:r w:rsidR="0031029D">
        <w:rPr>
          <w:b/>
          <w:sz w:val="28"/>
          <w:szCs w:val="28"/>
          <w:lang w:val="kk-KZ"/>
        </w:rPr>
        <w:t>бойынша</w:t>
      </w:r>
      <w:r w:rsidRPr="00AC3294">
        <w:rPr>
          <w:b/>
          <w:sz w:val="28"/>
          <w:szCs w:val="28"/>
          <w:lang w:val="kk-KZ"/>
        </w:rPr>
        <w:t xml:space="preserve"> пилоттық жобаны іске асыру қағидалары мен мерзімін бекіту туралы»</w:t>
      </w:r>
      <w:r>
        <w:rPr>
          <w:b/>
          <w:sz w:val="28"/>
          <w:szCs w:val="28"/>
          <w:lang w:val="kk-KZ"/>
        </w:rPr>
        <w:t xml:space="preserve"> </w:t>
      </w:r>
      <w:r w:rsidRPr="00AC3294">
        <w:rPr>
          <w:b/>
          <w:sz w:val="28"/>
          <w:szCs w:val="28"/>
          <w:lang w:val="kk-KZ"/>
        </w:rPr>
        <w:t>Қазақстан Республикасы Қаржы министрінің 2020 жылғы 19 қазандағы № 1024 бұйрығының күші жойылды деп тану туралы</w:t>
      </w:r>
    </w:p>
    <w:p w:rsidR="00B57204" w:rsidRPr="0085748B" w:rsidRDefault="00B57204" w:rsidP="003A3D29">
      <w:pPr>
        <w:overflowPunct/>
        <w:autoSpaceDE/>
        <w:autoSpaceDN/>
        <w:adjustRightInd/>
        <w:ind w:firstLine="709"/>
        <w:jc w:val="center"/>
        <w:outlineLvl w:val="0"/>
        <w:rPr>
          <w:b/>
          <w:sz w:val="28"/>
          <w:szCs w:val="28"/>
          <w:lang w:val="kk-KZ"/>
        </w:rPr>
      </w:pPr>
    </w:p>
    <w:p w:rsidR="000D3507" w:rsidRPr="0085748B" w:rsidRDefault="000D3507" w:rsidP="003A3D29">
      <w:pPr>
        <w:overflowPunct/>
        <w:autoSpaceDE/>
        <w:autoSpaceDN/>
        <w:adjustRightInd/>
        <w:ind w:firstLine="709"/>
        <w:jc w:val="both"/>
        <w:outlineLvl w:val="0"/>
        <w:rPr>
          <w:b/>
          <w:sz w:val="28"/>
          <w:szCs w:val="28"/>
          <w:lang w:val="kk-KZ"/>
        </w:rPr>
      </w:pPr>
    </w:p>
    <w:p w:rsidR="000D3507" w:rsidRPr="0085748B" w:rsidRDefault="002B33FD" w:rsidP="003A3D29">
      <w:pPr>
        <w:overflowPunct/>
        <w:autoSpaceDE/>
        <w:autoSpaceDN/>
        <w:adjustRightInd/>
        <w:ind w:firstLine="709"/>
        <w:jc w:val="both"/>
        <w:outlineLvl w:val="0"/>
        <w:rPr>
          <w:sz w:val="28"/>
          <w:szCs w:val="28"/>
          <w:lang w:val="kk-KZ"/>
        </w:rPr>
      </w:pPr>
      <w:r w:rsidRPr="002B33FD">
        <w:rPr>
          <w:sz w:val="28"/>
          <w:szCs w:val="28"/>
          <w:lang w:val="kk-KZ"/>
        </w:rPr>
        <w:t xml:space="preserve"> «Құқықтық актілер туралы» </w:t>
      </w:r>
      <w:r w:rsidR="000500D0" w:rsidRPr="002B33FD">
        <w:rPr>
          <w:sz w:val="28"/>
          <w:szCs w:val="28"/>
          <w:lang w:val="kk-KZ"/>
        </w:rPr>
        <w:t xml:space="preserve">Қазақстан Республикасы </w:t>
      </w:r>
      <w:r w:rsidRPr="002B33FD">
        <w:rPr>
          <w:sz w:val="28"/>
          <w:szCs w:val="28"/>
          <w:lang w:val="kk-KZ"/>
        </w:rPr>
        <w:t xml:space="preserve">Заңының </w:t>
      </w:r>
      <w:r>
        <w:rPr>
          <w:sz w:val="28"/>
          <w:szCs w:val="28"/>
          <w:lang w:val="kk-KZ"/>
        </w:rPr>
        <w:t>1</w:t>
      </w:r>
      <w:r w:rsidR="000500D0" w:rsidRPr="000500D0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тармағы 27</w:t>
      </w:r>
      <w:r w:rsidRPr="002B33FD">
        <w:rPr>
          <w:sz w:val="28"/>
          <w:szCs w:val="28"/>
          <w:lang w:val="kk-KZ"/>
        </w:rPr>
        <w:t>-бабына сәйкес</w:t>
      </w:r>
      <w:r w:rsidR="000D3507" w:rsidRPr="0085748B">
        <w:rPr>
          <w:sz w:val="28"/>
          <w:szCs w:val="28"/>
          <w:lang w:val="kk-KZ"/>
        </w:rPr>
        <w:t xml:space="preserve"> </w:t>
      </w:r>
      <w:r w:rsidR="000D3507" w:rsidRPr="0085748B">
        <w:rPr>
          <w:b/>
          <w:sz w:val="28"/>
          <w:szCs w:val="28"/>
          <w:lang w:val="kk-KZ"/>
        </w:rPr>
        <w:t>БҰЙЫРАМЫН:</w:t>
      </w:r>
    </w:p>
    <w:p w:rsidR="000D3507" w:rsidRPr="0085748B" w:rsidRDefault="00511F48" w:rsidP="003A3D29">
      <w:pPr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/>
        <w:jc w:val="both"/>
        <w:outlineLvl w:val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«Тәуекелдерді басқару жүйесін қолдан</w:t>
      </w:r>
      <w:r w:rsidR="008103C4">
        <w:rPr>
          <w:sz w:val="28"/>
          <w:szCs w:val="28"/>
          <w:lang w:val="kk-KZ"/>
        </w:rPr>
        <w:t>у арқылы</w:t>
      </w:r>
      <w:r>
        <w:rPr>
          <w:sz w:val="28"/>
          <w:szCs w:val="28"/>
          <w:lang w:val="kk-KZ"/>
        </w:rPr>
        <w:t xml:space="preserve">, Еуразиялық экономикалық одақтың кедендік аумағына тауарларды әкелуді жүзеге асыратын салық төлеушілерді әкімшілендіру </w:t>
      </w:r>
      <w:r w:rsidR="008103C4">
        <w:rPr>
          <w:sz w:val="28"/>
          <w:szCs w:val="28"/>
          <w:lang w:val="kk-KZ"/>
        </w:rPr>
        <w:t>бойынша</w:t>
      </w:r>
      <w:r>
        <w:rPr>
          <w:sz w:val="28"/>
          <w:szCs w:val="28"/>
          <w:lang w:val="kk-KZ"/>
        </w:rPr>
        <w:t xml:space="preserve"> пилоттық жобаны іске асыру қағидалары мен мерзімін бекіту туралы» Қазақстан Республикасы Қаржы министрінің 2020 жылғы 19 қазандағы № 1024 бұйрығының </w:t>
      </w:r>
      <w:r w:rsidR="008103C4">
        <w:rPr>
          <w:sz w:val="28"/>
          <w:szCs w:val="28"/>
          <w:lang w:val="kk-KZ"/>
        </w:rPr>
        <w:t xml:space="preserve">(Нормативтік </w:t>
      </w:r>
      <w:r w:rsidR="00637B23">
        <w:rPr>
          <w:sz w:val="28"/>
          <w:szCs w:val="28"/>
          <w:lang w:val="kk-KZ"/>
        </w:rPr>
        <w:t xml:space="preserve">құқықтық актілерді мемлекеттік тіркеу тізілімінде №21477 болып тіркелген) </w:t>
      </w:r>
      <w:r>
        <w:rPr>
          <w:sz w:val="28"/>
          <w:szCs w:val="28"/>
          <w:lang w:val="kk-KZ"/>
        </w:rPr>
        <w:t>күші жойылды деп танылсын</w:t>
      </w:r>
      <w:r w:rsidR="000D3507" w:rsidRPr="0085748B">
        <w:rPr>
          <w:sz w:val="28"/>
          <w:szCs w:val="28"/>
          <w:lang w:val="kk-KZ"/>
        </w:rPr>
        <w:t>.</w:t>
      </w:r>
    </w:p>
    <w:p w:rsidR="000D3507" w:rsidRPr="0085748B" w:rsidRDefault="000D3507" w:rsidP="003A3D29">
      <w:pPr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 w:rsidRPr="0085748B">
        <w:rPr>
          <w:rFonts w:eastAsia="Calibri"/>
          <w:color w:val="000000"/>
          <w:sz w:val="28"/>
          <w:szCs w:val="28"/>
          <w:lang w:val="kk-KZ" w:eastAsia="en-US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0D3507" w:rsidRPr="0085748B" w:rsidRDefault="000D3507" w:rsidP="003A3D29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748B">
        <w:rPr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0D3507" w:rsidRPr="0085748B" w:rsidRDefault="007B334D" w:rsidP="003A3D29">
      <w:pPr>
        <w:overflowPunct/>
        <w:autoSpaceDE/>
        <w:autoSpaceDN/>
        <w:adjustRightInd/>
        <w:ind w:firstLine="709"/>
        <w:contextualSpacing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>
        <w:rPr>
          <w:rFonts w:eastAsia="Calibri"/>
          <w:color w:val="000000"/>
          <w:sz w:val="28"/>
          <w:szCs w:val="28"/>
          <w:lang w:val="kk-KZ" w:eastAsia="en-US"/>
        </w:rPr>
        <w:t>2) осы бұйрық</w:t>
      </w:r>
      <w:r w:rsidR="000D3507" w:rsidRPr="0085748B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="00A63FFE">
        <w:rPr>
          <w:rFonts w:eastAsia="Calibri"/>
          <w:color w:val="000000"/>
          <w:sz w:val="28"/>
          <w:szCs w:val="28"/>
          <w:lang w:val="kk-KZ" w:eastAsia="en-US"/>
        </w:rPr>
        <w:t xml:space="preserve">ресми жарияланғаннан кейін </w:t>
      </w:r>
      <w:r w:rsidR="00A63FFE">
        <w:rPr>
          <w:rFonts w:eastAsia="Calibri"/>
          <w:color w:val="000000"/>
          <w:sz w:val="28"/>
          <w:szCs w:val="28"/>
          <w:lang w:val="kk-KZ" w:eastAsia="en-US"/>
        </w:rPr>
        <w:t xml:space="preserve">оны </w:t>
      </w:r>
      <w:r w:rsidR="000D3507" w:rsidRPr="0085748B">
        <w:rPr>
          <w:rFonts w:eastAsia="Calibri"/>
          <w:color w:val="000000"/>
          <w:sz w:val="28"/>
          <w:szCs w:val="28"/>
          <w:lang w:val="kk-KZ" w:eastAsia="en-US"/>
        </w:rPr>
        <w:t xml:space="preserve">Қазақстан Республикасы Қаржы министрлігінің интернет-ресурсында </w:t>
      </w:r>
      <w:r w:rsidR="00F947E6">
        <w:rPr>
          <w:rFonts w:eastAsia="Calibri"/>
          <w:color w:val="000000"/>
          <w:sz w:val="28"/>
          <w:szCs w:val="28"/>
          <w:lang w:val="kk-KZ" w:eastAsia="en-US"/>
        </w:rPr>
        <w:t>орналастыру</w:t>
      </w:r>
      <w:r w:rsidR="00E832B6">
        <w:rPr>
          <w:rFonts w:eastAsia="Calibri"/>
          <w:color w:val="000000"/>
          <w:sz w:val="28"/>
          <w:szCs w:val="28"/>
          <w:lang w:val="kk-KZ" w:eastAsia="en-US"/>
        </w:rPr>
        <w:t>д</w:t>
      </w:r>
      <w:r w:rsidR="000D3507" w:rsidRPr="0085748B">
        <w:rPr>
          <w:rFonts w:eastAsia="Calibri"/>
          <w:color w:val="000000"/>
          <w:sz w:val="28"/>
          <w:szCs w:val="28"/>
          <w:lang w:val="kk-KZ" w:eastAsia="en-US"/>
        </w:rPr>
        <w:t>ы;</w:t>
      </w:r>
    </w:p>
    <w:p w:rsidR="000D3507" w:rsidRPr="0085748B" w:rsidRDefault="00653ED2" w:rsidP="003A3D29">
      <w:pPr>
        <w:overflowPunct/>
        <w:autoSpaceDE/>
        <w:autoSpaceDN/>
        <w:adjustRightInd/>
        <w:ind w:firstLine="709"/>
        <w:contextualSpacing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>
        <w:rPr>
          <w:rFonts w:eastAsia="Calibri"/>
          <w:color w:val="000000"/>
          <w:sz w:val="28"/>
          <w:szCs w:val="28"/>
          <w:lang w:val="kk-KZ" w:eastAsia="en-US"/>
        </w:rPr>
        <w:t xml:space="preserve">3) </w:t>
      </w:r>
      <w:r w:rsidR="000D3507" w:rsidRPr="0085748B">
        <w:rPr>
          <w:rFonts w:eastAsia="Calibri"/>
          <w:color w:val="000000"/>
          <w:sz w:val="28"/>
          <w:szCs w:val="28"/>
          <w:lang w:val="kk-KZ" w:eastAsia="en-US"/>
        </w:rPr>
        <w:t>осы бұйрық Қазақстан Республикасы Әділет министрлігінде</w:t>
      </w:r>
      <w:r w:rsidR="00F53D25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="000D3507" w:rsidRPr="0085748B">
        <w:rPr>
          <w:rFonts w:eastAsia="Calibri"/>
          <w:color w:val="000000"/>
          <w:sz w:val="28"/>
          <w:szCs w:val="28"/>
          <w:lang w:val="kk-KZ" w:eastAsia="en-US"/>
        </w:rPr>
        <w:t>мемлекеттік тіркелгеннен кейін он жұмыс күні і</w:t>
      </w:r>
      <w:r w:rsidR="006F7797">
        <w:rPr>
          <w:rFonts w:eastAsia="Calibri"/>
          <w:color w:val="000000"/>
          <w:sz w:val="28"/>
          <w:szCs w:val="28"/>
          <w:lang w:val="kk-KZ" w:eastAsia="en-US"/>
        </w:rPr>
        <w:t xml:space="preserve">шінде осы тармақтың 1) және </w:t>
      </w:r>
      <w:r w:rsidR="006F7797">
        <w:rPr>
          <w:rFonts w:eastAsia="Calibri"/>
          <w:color w:val="000000"/>
          <w:sz w:val="28"/>
          <w:szCs w:val="28"/>
          <w:lang w:val="kk-KZ" w:eastAsia="en-US"/>
        </w:rPr>
        <w:br/>
        <w:t xml:space="preserve">2) </w:t>
      </w:r>
      <w:r w:rsidR="00F947E6">
        <w:rPr>
          <w:rFonts w:eastAsia="Calibri"/>
          <w:color w:val="000000"/>
          <w:sz w:val="28"/>
          <w:szCs w:val="28"/>
          <w:lang w:val="kk-KZ" w:eastAsia="en-US"/>
        </w:rPr>
        <w:t xml:space="preserve">тармақшасында көзделген іс-шаралардың </w:t>
      </w:r>
      <w:r w:rsidR="000D3507" w:rsidRPr="0085748B">
        <w:rPr>
          <w:rFonts w:eastAsia="Calibri"/>
          <w:color w:val="000000"/>
          <w:sz w:val="28"/>
          <w:szCs w:val="28"/>
          <w:lang w:val="kk-KZ" w:eastAsia="en-US"/>
        </w:rPr>
        <w:t>орында</w:t>
      </w:r>
      <w:r w:rsidR="00F947E6">
        <w:rPr>
          <w:rFonts w:eastAsia="Calibri"/>
          <w:color w:val="000000"/>
          <w:sz w:val="28"/>
          <w:szCs w:val="28"/>
          <w:lang w:val="kk-KZ" w:eastAsia="en-US"/>
        </w:rPr>
        <w:t>л</w:t>
      </w:r>
      <w:r w:rsidR="000D3507" w:rsidRPr="0085748B">
        <w:rPr>
          <w:rFonts w:eastAsia="Calibri"/>
          <w:color w:val="000000"/>
          <w:sz w:val="28"/>
          <w:szCs w:val="28"/>
          <w:lang w:val="kk-KZ" w:eastAsia="en-US"/>
        </w:rPr>
        <w:t>у</w:t>
      </w:r>
      <w:r w:rsidR="00F947E6">
        <w:rPr>
          <w:rFonts w:eastAsia="Calibri"/>
          <w:color w:val="000000"/>
          <w:sz w:val="28"/>
          <w:szCs w:val="28"/>
          <w:lang w:val="kk-KZ" w:eastAsia="en-US"/>
        </w:rPr>
        <w:t>ы</w:t>
      </w:r>
      <w:r w:rsidR="000D3507" w:rsidRPr="0085748B">
        <w:rPr>
          <w:rFonts w:eastAsia="Calibri"/>
          <w:color w:val="000000"/>
          <w:sz w:val="28"/>
          <w:szCs w:val="28"/>
          <w:lang w:val="kk-KZ" w:eastAsia="en-US"/>
        </w:rPr>
        <w:t xml:space="preserve"> туралы мәліметтердің Қазақстан Республикасы Қаржы министрлігінің Заң қызметі</w:t>
      </w:r>
      <w:r w:rsidR="00F947E6">
        <w:rPr>
          <w:rFonts w:eastAsia="Calibri"/>
          <w:color w:val="000000"/>
          <w:sz w:val="28"/>
          <w:szCs w:val="28"/>
          <w:lang w:val="kk-KZ" w:eastAsia="en-US"/>
        </w:rPr>
        <w:t xml:space="preserve"> департаментіне ұсынуды</w:t>
      </w:r>
      <w:bookmarkStart w:id="0" w:name="_GoBack"/>
      <w:bookmarkEnd w:id="0"/>
      <w:r w:rsidR="000D3507" w:rsidRPr="0085748B">
        <w:rPr>
          <w:rFonts w:eastAsia="Calibri"/>
          <w:color w:val="000000"/>
          <w:sz w:val="28"/>
          <w:szCs w:val="28"/>
          <w:lang w:val="kk-KZ" w:eastAsia="en-US"/>
        </w:rPr>
        <w:t xml:space="preserve"> қамтамасыз етсін.</w:t>
      </w:r>
    </w:p>
    <w:p w:rsidR="000D3507" w:rsidRDefault="000D3507" w:rsidP="003A3D29">
      <w:pPr>
        <w:overflowPunct/>
        <w:autoSpaceDE/>
        <w:autoSpaceDN/>
        <w:adjustRightInd/>
        <w:ind w:firstLine="709"/>
        <w:contextualSpacing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 w:rsidRPr="0085748B">
        <w:rPr>
          <w:rFonts w:eastAsia="Calibri"/>
          <w:color w:val="000000"/>
          <w:sz w:val="28"/>
          <w:szCs w:val="28"/>
          <w:lang w:val="kk-KZ" w:eastAsia="en-US"/>
        </w:rPr>
        <w:t>3. Осы бұйрық алғашқы ресми жарияланған күнінен кейін күнтізбелік он күн өткен соң қолданысқа енгізіледі.</w:t>
      </w:r>
    </w:p>
    <w:p w:rsidR="000D3507" w:rsidRPr="0085748B" w:rsidRDefault="000D3507" w:rsidP="003A3D29">
      <w:pPr>
        <w:overflowPunct/>
        <w:autoSpaceDE/>
        <w:autoSpaceDN/>
        <w:adjustRightInd/>
        <w:ind w:firstLine="709"/>
        <w:contextualSpacing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0D3507" w:rsidRDefault="000D3507" w:rsidP="003A3D29">
      <w:pPr>
        <w:ind w:firstLine="709"/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Pr="00D61F9A" w:rsidRDefault="00D61F9A" w:rsidP="003A3D29">
            <w:pPr>
              <w:ind w:firstLine="709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Министр</w:t>
            </w:r>
          </w:p>
        </w:tc>
        <w:tc>
          <w:tcPr>
            <w:tcW w:w="2126" w:type="dxa"/>
          </w:tcPr>
          <w:p w:rsidR="008858D2" w:rsidRDefault="008858D2" w:rsidP="003A3D29">
            <w:pPr>
              <w:ind w:firstLine="70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D61F9A" w:rsidP="003A3D29">
            <w:pPr>
              <w:ind w:firstLine="709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М. Такиев</w:t>
            </w:r>
          </w:p>
        </w:tc>
      </w:tr>
    </w:tbl>
    <w:p w:rsidR="00642211" w:rsidRDefault="00642211" w:rsidP="003A3D29">
      <w:pPr>
        <w:overflowPunct/>
        <w:autoSpaceDE/>
        <w:autoSpaceDN/>
        <w:adjustRightInd/>
        <w:ind w:firstLine="709"/>
        <w:rPr>
          <w:lang w:val="kk-KZ"/>
        </w:rPr>
      </w:pPr>
    </w:p>
    <w:p w:rsidR="0000760F" w:rsidRDefault="0000760F" w:rsidP="003A3D29">
      <w:pPr>
        <w:overflowPunct/>
        <w:autoSpaceDE/>
        <w:autoSpaceDN/>
        <w:adjustRightInd/>
        <w:ind w:firstLine="709"/>
        <w:rPr>
          <w:lang w:val="kk-KZ"/>
        </w:rPr>
      </w:pPr>
    </w:p>
    <w:p w:rsidR="0000760F" w:rsidRDefault="0000760F" w:rsidP="003A3D29">
      <w:pPr>
        <w:overflowPunct/>
        <w:autoSpaceDE/>
        <w:autoSpaceDN/>
        <w:adjustRightInd/>
        <w:ind w:firstLine="709"/>
        <w:rPr>
          <w:lang w:val="kk-KZ"/>
        </w:rPr>
      </w:pPr>
    </w:p>
    <w:p w:rsidR="0000760F" w:rsidRPr="0000760F" w:rsidRDefault="0000760F" w:rsidP="0000760F">
      <w:pPr>
        <w:overflowPunct/>
        <w:autoSpaceDE/>
        <w:autoSpaceDN/>
        <w:adjustRightInd/>
        <w:ind w:firstLine="709"/>
        <w:rPr>
          <w:rFonts w:eastAsia="Calibri"/>
          <w:color w:val="000000"/>
          <w:sz w:val="28"/>
          <w:szCs w:val="28"/>
          <w:lang w:val="kk-KZ" w:eastAsia="en-US"/>
        </w:rPr>
      </w:pPr>
      <w:r>
        <w:rPr>
          <w:rFonts w:eastAsia="Calibri"/>
          <w:color w:val="000000"/>
          <w:sz w:val="28"/>
          <w:szCs w:val="28"/>
          <w:lang w:val="kk-KZ" w:eastAsia="en-US"/>
        </w:rPr>
        <w:t>«</w:t>
      </w:r>
      <w:r w:rsidRPr="0000760F">
        <w:rPr>
          <w:rFonts w:eastAsia="Calibri"/>
          <w:color w:val="000000"/>
          <w:sz w:val="28"/>
          <w:szCs w:val="28"/>
          <w:lang w:val="kk-KZ" w:eastAsia="en-US"/>
        </w:rPr>
        <w:t>КЕЛІСІЛДІ</w:t>
      </w:r>
      <w:r>
        <w:rPr>
          <w:rFonts w:eastAsia="Calibri"/>
          <w:color w:val="000000"/>
          <w:sz w:val="28"/>
          <w:szCs w:val="28"/>
          <w:lang w:val="kk-KZ" w:eastAsia="en-US"/>
        </w:rPr>
        <w:t>»</w:t>
      </w:r>
    </w:p>
    <w:p w:rsidR="0000760F" w:rsidRPr="0000760F" w:rsidRDefault="0000760F" w:rsidP="0000760F">
      <w:pPr>
        <w:overflowPunct/>
        <w:autoSpaceDE/>
        <w:autoSpaceDN/>
        <w:adjustRightInd/>
        <w:ind w:firstLine="709"/>
        <w:rPr>
          <w:rFonts w:eastAsia="Calibri"/>
          <w:color w:val="000000"/>
          <w:sz w:val="28"/>
          <w:szCs w:val="28"/>
          <w:lang w:val="kk-KZ" w:eastAsia="en-US"/>
        </w:rPr>
      </w:pPr>
      <w:r w:rsidRPr="0000760F">
        <w:rPr>
          <w:rFonts w:eastAsia="Calibri"/>
          <w:color w:val="000000"/>
          <w:sz w:val="28"/>
          <w:szCs w:val="28"/>
          <w:lang w:val="kk-KZ" w:eastAsia="en-US"/>
        </w:rPr>
        <w:t xml:space="preserve"> Қазақстан Республикасы</w:t>
      </w:r>
    </w:p>
    <w:p w:rsidR="0000760F" w:rsidRPr="0000760F" w:rsidRDefault="0000760F" w:rsidP="0000760F">
      <w:pPr>
        <w:overflowPunct/>
        <w:autoSpaceDE/>
        <w:autoSpaceDN/>
        <w:adjustRightInd/>
        <w:ind w:firstLine="709"/>
        <w:rPr>
          <w:rFonts w:eastAsia="Calibri"/>
          <w:color w:val="000000"/>
          <w:sz w:val="28"/>
          <w:szCs w:val="28"/>
          <w:lang w:val="kk-KZ" w:eastAsia="en-US"/>
        </w:rPr>
      </w:pPr>
      <w:r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Pr="0000760F">
        <w:rPr>
          <w:rFonts w:eastAsia="Calibri"/>
          <w:color w:val="000000"/>
          <w:sz w:val="28"/>
          <w:szCs w:val="28"/>
          <w:lang w:val="kk-KZ" w:eastAsia="en-US"/>
        </w:rPr>
        <w:t>Ұлттық экономика министрлігі</w:t>
      </w:r>
    </w:p>
    <w:p w:rsidR="0000760F" w:rsidRPr="0000760F" w:rsidRDefault="0000760F" w:rsidP="003A3D29">
      <w:pPr>
        <w:overflowPunct/>
        <w:autoSpaceDE/>
        <w:autoSpaceDN/>
        <w:adjustRightInd/>
        <w:ind w:firstLine="709"/>
        <w:rPr>
          <w:rFonts w:eastAsia="Calibri"/>
          <w:color w:val="000000"/>
          <w:sz w:val="28"/>
          <w:szCs w:val="28"/>
          <w:lang w:val="kk-KZ" w:eastAsia="en-US"/>
        </w:rPr>
      </w:pPr>
    </w:p>
    <w:p w:rsidR="0000760F" w:rsidRPr="008858D2" w:rsidRDefault="0000760F" w:rsidP="003A3D29">
      <w:pPr>
        <w:overflowPunct/>
        <w:autoSpaceDE/>
        <w:autoSpaceDN/>
        <w:adjustRightInd/>
        <w:ind w:firstLine="709"/>
        <w:rPr>
          <w:lang w:val="kk-KZ"/>
        </w:rPr>
      </w:pPr>
    </w:p>
    <w:sectPr w:rsidR="0000760F" w:rsidRPr="008858D2" w:rsidSect="00E35276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5D4" w:rsidRDefault="008775D4">
      <w:r>
        <w:separator/>
      </w:r>
    </w:p>
  </w:endnote>
  <w:endnote w:type="continuationSeparator" w:id="0">
    <w:p w:rsidR="008775D4" w:rsidRDefault="0087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5D4" w:rsidRDefault="008775D4">
      <w:r>
        <w:separator/>
      </w:r>
    </w:p>
  </w:footnote>
  <w:footnote w:type="continuationSeparator" w:id="0">
    <w:p w:rsidR="008775D4" w:rsidRDefault="00877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37B23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2C3EC7" w:rsidP="000D3507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0D3507"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0D350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  <w:r w:rsidR="002C3EC7" w:rsidRPr="00A646AF">
            <w:rPr>
              <w:b/>
              <w:bCs/>
              <w:color w:val="3399FF"/>
              <w:lang w:val="kk-KZ"/>
            </w:rPr>
            <w:t xml:space="preserve"> 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E1E3ED7"/>
    <w:multiLevelType w:val="hybridMultilevel"/>
    <w:tmpl w:val="DAB03266"/>
    <w:lvl w:ilvl="0" w:tplc="7DDCFCE8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760F"/>
    <w:rsid w:val="0002773D"/>
    <w:rsid w:val="00035F55"/>
    <w:rsid w:val="000500D0"/>
    <w:rsid w:val="00073119"/>
    <w:rsid w:val="000870F9"/>
    <w:rsid w:val="000922AA"/>
    <w:rsid w:val="000A0C99"/>
    <w:rsid w:val="000D3507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B33FD"/>
    <w:rsid w:val="002C3EC7"/>
    <w:rsid w:val="002F11B1"/>
    <w:rsid w:val="0031029D"/>
    <w:rsid w:val="00341898"/>
    <w:rsid w:val="00364E0B"/>
    <w:rsid w:val="003A3D29"/>
    <w:rsid w:val="003B261C"/>
    <w:rsid w:val="003F241E"/>
    <w:rsid w:val="003F26A2"/>
    <w:rsid w:val="00423754"/>
    <w:rsid w:val="00430E89"/>
    <w:rsid w:val="00433A8D"/>
    <w:rsid w:val="004726FE"/>
    <w:rsid w:val="00486F3C"/>
    <w:rsid w:val="0049623C"/>
    <w:rsid w:val="004B400D"/>
    <w:rsid w:val="004B6D21"/>
    <w:rsid w:val="004C34B8"/>
    <w:rsid w:val="004E49BE"/>
    <w:rsid w:val="004F3375"/>
    <w:rsid w:val="00511F48"/>
    <w:rsid w:val="005367B2"/>
    <w:rsid w:val="005427FD"/>
    <w:rsid w:val="005C5F30"/>
    <w:rsid w:val="005F582C"/>
    <w:rsid w:val="006340C9"/>
    <w:rsid w:val="00637B23"/>
    <w:rsid w:val="00642211"/>
    <w:rsid w:val="00653ED2"/>
    <w:rsid w:val="0067240F"/>
    <w:rsid w:val="006B0963"/>
    <w:rsid w:val="006B6938"/>
    <w:rsid w:val="006E1117"/>
    <w:rsid w:val="006F7797"/>
    <w:rsid w:val="007006E3"/>
    <w:rsid w:val="007111E8"/>
    <w:rsid w:val="00720FC6"/>
    <w:rsid w:val="00731B2A"/>
    <w:rsid w:val="00740441"/>
    <w:rsid w:val="007702A5"/>
    <w:rsid w:val="007767CD"/>
    <w:rsid w:val="00782A16"/>
    <w:rsid w:val="007B334D"/>
    <w:rsid w:val="007E588D"/>
    <w:rsid w:val="0081000A"/>
    <w:rsid w:val="008103C4"/>
    <w:rsid w:val="008436CA"/>
    <w:rsid w:val="00866964"/>
    <w:rsid w:val="00867FA4"/>
    <w:rsid w:val="008775D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63FFE"/>
    <w:rsid w:val="00AA225A"/>
    <w:rsid w:val="00AC3294"/>
    <w:rsid w:val="00AC76FB"/>
    <w:rsid w:val="00B12C86"/>
    <w:rsid w:val="00B2298B"/>
    <w:rsid w:val="00B5615F"/>
    <w:rsid w:val="00B57204"/>
    <w:rsid w:val="00B841B2"/>
    <w:rsid w:val="00B86340"/>
    <w:rsid w:val="00BA33FA"/>
    <w:rsid w:val="00BB2BE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61F9A"/>
    <w:rsid w:val="00DC3588"/>
    <w:rsid w:val="00DC45FB"/>
    <w:rsid w:val="00DD35CD"/>
    <w:rsid w:val="00E1687B"/>
    <w:rsid w:val="00E35276"/>
    <w:rsid w:val="00E43190"/>
    <w:rsid w:val="00E57A5B"/>
    <w:rsid w:val="00E778A5"/>
    <w:rsid w:val="00E832B6"/>
    <w:rsid w:val="00E866E0"/>
    <w:rsid w:val="00EB54A3"/>
    <w:rsid w:val="00EC3C11"/>
    <w:rsid w:val="00ED617A"/>
    <w:rsid w:val="00EE1A39"/>
    <w:rsid w:val="00EE69B8"/>
    <w:rsid w:val="00F22932"/>
    <w:rsid w:val="00F525B9"/>
    <w:rsid w:val="00F53D25"/>
    <w:rsid w:val="00F64017"/>
    <w:rsid w:val="00F93EE0"/>
    <w:rsid w:val="00F947E6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A7596D4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204</Words>
  <Characters>1798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Канабатырова Ардак Аскаровна</cp:lastModifiedBy>
  <cp:revision>37</cp:revision>
  <dcterms:created xsi:type="dcterms:W3CDTF">2025-02-18T07:28:00Z</dcterms:created>
  <dcterms:modified xsi:type="dcterms:W3CDTF">2025-05-05T13:30:00Z</dcterms:modified>
</cp:coreProperties>
</file>